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78" w:rsidRPr="007A0878" w:rsidRDefault="007A0878" w:rsidP="007A0878">
      <w:pPr>
        <w:pStyle w:val="Ttulo2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A087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REUNIÃO ORDINÁRIA DE 5 DE SETEMBRO DE 2.017.</w:t>
      </w:r>
      <w:bookmarkStart w:id="0" w:name="_GoBack"/>
      <w:bookmarkEnd w:id="0"/>
    </w:p>
    <w:p w:rsidR="007A0878" w:rsidRPr="00594EB6" w:rsidRDefault="007A0878" w:rsidP="007A0878">
      <w:pPr>
        <w:jc w:val="both"/>
        <w:rPr>
          <w:rStyle w:val="CitaoHTML"/>
          <w:color w:val="auto"/>
          <w:sz w:val="28"/>
          <w:szCs w:val="28"/>
        </w:rPr>
      </w:pPr>
      <w:r w:rsidRPr="00594EB6">
        <w:rPr>
          <w:b/>
          <w:sz w:val="28"/>
          <w:szCs w:val="28"/>
          <w:u w:val="single"/>
        </w:rPr>
        <w:t>ATA Nº 08/2.017</w:t>
      </w:r>
      <w:r w:rsidRPr="00594EB6">
        <w:rPr>
          <w:sz w:val="28"/>
          <w:szCs w:val="28"/>
        </w:rPr>
        <w:t xml:space="preserve">  -  Aos cinco dias,  do mês de setembro, do ano de dois mil e dezessete, às nove horas e trinta e cinco minutos, na sala do Conselho Universitário, da Universidade Federal de Alagoas – UFAL, sita no Campus A. C. Simões, Av. Lourival Melo Mota, S/N, Tabuleiro do Martins, nesta cidade, compareceram ao nosso encontro os seguintes membros:  Srs. José Carlos Castro(MPE), </w:t>
      </w:r>
      <w:proofErr w:type="spellStart"/>
      <w:r w:rsidRPr="00594EB6">
        <w:rPr>
          <w:sz w:val="28"/>
          <w:szCs w:val="28"/>
        </w:rPr>
        <w:t>Claudivan</w:t>
      </w:r>
      <w:proofErr w:type="spellEnd"/>
      <w:r w:rsidRPr="00594EB6">
        <w:rPr>
          <w:sz w:val="28"/>
          <w:szCs w:val="28"/>
        </w:rPr>
        <w:t xml:space="preserve"> da Silva Costa(TCU), Pedro Guido da Silva (ISV), Fernando Teles de Farias(Arquidiocese de Maceió), Sérgio </w:t>
      </w:r>
      <w:proofErr w:type="spellStart"/>
      <w:r w:rsidRPr="00594EB6">
        <w:rPr>
          <w:sz w:val="28"/>
          <w:szCs w:val="28"/>
        </w:rPr>
        <w:t>Studart</w:t>
      </w:r>
      <w:proofErr w:type="spellEnd"/>
      <w:r w:rsidRPr="00594EB6">
        <w:rPr>
          <w:sz w:val="28"/>
          <w:szCs w:val="28"/>
        </w:rPr>
        <w:t xml:space="preserve">(CGU), </w:t>
      </w:r>
      <w:proofErr w:type="spellStart"/>
      <w:r w:rsidRPr="00594EB6">
        <w:rPr>
          <w:sz w:val="28"/>
          <w:szCs w:val="28"/>
        </w:rPr>
        <w:t>Linaldo</w:t>
      </w:r>
      <w:proofErr w:type="spellEnd"/>
      <w:r w:rsidRPr="00594EB6">
        <w:rPr>
          <w:sz w:val="28"/>
          <w:szCs w:val="28"/>
        </w:rPr>
        <w:t xml:space="preserve"> Freitas (TCE/AL),Paulo José Monteiro Santos Lima(AGU), Anthony Lima(OAB/AL), Rafael Rodrigues de Alcântara(MPC), Adriano Nascimento Silva(UFAL), Cássio de Araújo Silva(MPT/AL), e Sras. </w:t>
      </w:r>
      <w:proofErr w:type="spellStart"/>
      <w:r w:rsidRPr="00594EB6">
        <w:rPr>
          <w:sz w:val="28"/>
          <w:szCs w:val="28"/>
        </w:rPr>
        <w:t>Helenice</w:t>
      </w:r>
      <w:proofErr w:type="spellEnd"/>
      <w:r w:rsidRPr="00594EB6">
        <w:rPr>
          <w:sz w:val="28"/>
          <w:szCs w:val="28"/>
        </w:rPr>
        <w:t xml:space="preserve"> Balbino Silva(SINTEAL), Valéria Bezerra(RFB), </w:t>
      </w:r>
      <w:proofErr w:type="spellStart"/>
      <w:r w:rsidRPr="00594EB6">
        <w:rPr>
          <w:sz w:val="28"/>
          <w:szCs w:val="28"/>
        </w:rPr>
        <w:t>Edilma</w:t>
      </w:r>
      <w:proofErr w:type="spellEnd"/>
      <w:r w:rsidRPr="00594EB6">
        <w:rPr>
          <w:sz w:val="28"/>
          <w:szCs w:val="28"/>
        </w:rPr>
        <w:t xml:space="preserve"> de Albuquerque Lins Barbosa (SINDMED)  e  </w:t>
      </w:r>
      <w:proofErr w:type="spellStart"/>
      <w:r w:rsidRPr="00594EB6">
        <w:rPr>
          <w:sz w:val="28"/>
          <w:szCs w:val="28"/>
        </w:rPr>
        <w:t>Nadja</w:t>
      </w:r>
      <w:proofErr w:type="spellEnd"/>
      <w:r w:rsidRPr="00594EB6">
        <w:rPr>
          <w:sz w:val="28"/>
          <w:szCs w:val="28"/>
        </w:rPr>
        <w:t xml:space="preserve"> Lúcia de Oliveira Peixoto(UNEAL). Antecipando-se a pauta, o Sr. Coordenador, a exemplo de outras oportunidades, agradeceu a cessão do espaço à Universidade Federal de Alagoas, bem como a gentileza como fomos recebidos por seu representante no FOCCO, registrando em seguida, com satisfação, o comparecimento de todos que se fizeram presentes à reunião.  </w:t>
      </w:r>
      <w:r w:rsidRPr="00594EB6">
        <w:rPr>
          <w:b/>
          <w:sz w:val="28"/>
          <w:szCs w:val="28"/>
          <w:u w:val="single"/>
        </w:rPr>
        <w:t>Item 1 da Pauta: Aprovação Ata da reunião anterior</w:t>
      </w:r>
      <w:r w:rsidRPr="00594EB6">
        <w:rPr>
          <w:sz w:val="28"/>
          <w:szCs w:val="28"/>
          <w:u w:val="single"/>
        </w:rPr>
        <w:t xml:space="preserve"> </w:t>
      </w:r>
      <w:r w:rsidRPr="00594EB6">
        <w:rPr>
          <w:sz w:val="28"/>
          <w:szCs w:val="28"/>
        </w:rPr>
        <w:t xml:space="preserve">- Esta foi aprovada por unanimidade, sem ressalvas, após o conhecimento de seu teor por todos os presentes. </w:t>
      </w:r>
      <w:r w:rsidRPr="00594EB6">
        <w:rPr>
          <w:b/>
          <w:sz w:val="28"/>
          <w:szCs w:val="28"/>
          <w:u w:val="single"/>
        </w:rPr>
        <w:t xml:space="preserve">Item 2 da Pauta: Parlamento Jovem Universitário – Atuação em 2.017 </w:t>
      </w:r>
      <w:r w:rsidRPr="00594EB6">
        <w:rPr>
          <w:b/>
          <w:sz w:val="28"/>
          <w:szCs w:val="28"/>
        </w:rPr>
        <w:t xml:space="preserve">– </w:t>
      </w:r>
      <w:r w:rsidRPr="00594EB6">
        <w:rPr>
          <w:sz w:val="28"/>
          <w:szCs w:val="28"/>
        </w:rPr>
        <w:t xml:space="preserve">O Sr. Coordenador elogiou o programa, mencionando seu histórico a partir da implantação do Parlamento Jovem – PJ, desenvolvido com alunos do ensino médio de escolas públicas e particulares desta cidade, Penedo, U. dos Palmares, Rio Largo e Viçosa. Disse, ainda, de sua importância, afirmando que o PJU não é um projeto exclusivo da Comissão de Capacitação, mas de </w:t>
      </w:r>
      <w:proofErr w:type="gramStart"/>
      <w:r w:rsidRPr="00594EB6">
        <w:rPr>
          <w:sz w:val="28"/>
          <w:szCs w:val="28"/>
        </w:rPr>
        <w:t>todo  FOCCO</w:t>
      </w:r>
      <w:proofErr w:type="gramEnd"/>
      <w:r w:rsidRPr="00594EB6">
        <w:rPr>
          <w:sz w:val="28"/>
          <w:szCs w:val="28"/>
        </w:rPr>
        <w:t xml:space="preserve">. Em seguida, passou a palavra ao Sr. Pedro Guido que procedeu a apresentação dos integrantes da referida missão e sua divisão em termos </w:t>
      </w:r>
      <w:proofErr w:type="gramStart"/>
      <w:r w:rsidRPr="00594EB6">
        <w:rPr>
          <w:sz w:val="28"/>
          <w:szCs w:val="28"/>
        </w:rPr>
        <w:t>de  atribuição</w:t>
      </w:r>
      <w:proofErr w:type="gramEnd"/>
      <w:r w:rsidRPr="00594EB6">
        <w:rPr>
          <w:sz w:val="28"/>
          <w:szCs w:val="28"/>
        </w:rPr>
        <w:t xml:space="preserve"> de atividades. Afirmou, ainda, que o propósito inicial é trabalhar, de forma </w:t>
      </w:r>
      <w:proofErr w:type="gramStart"/>
      <w:r w:rsidRPr="00594EB6">
        <w:rPr>
          <w:sz w:val="28"/>
          <w:szCs w:val="28"/>
        </w:rPr>
        <w:t>restrita,  com</w:t>
      </w:r>
      <w:proofErr w:type="gramEnd"/>
      <w:r w:rsidRPr="00594EB6">
        <w:rPr>
          <w:sz w:val="28"/>
          <w:szCs w:val="28"/>
        </w:rPr>
        <w:t xml:space="preserve"> cada uma das instituições e, posteriormente, numa 2ª fase, com todas em único grupo. Considerou ele, também, a possibilidade de a aula inaugural ocorrer no próximo 6 de outubro, na abertura da 8ª Bienal Internacional do Livro de Alagoas – 2.017, a acontecer no Centro Cultural e de Exposições Ruth Cardoso, entre os dias 29 de setembro e 8 de outubro do corrente. Elogiou a participação efetiva do Prof. Adriano Nascimento, representante da UFAL, no planejamento, citando, por fim, que a expectativa é contarmos com a participação de docentes da própria </w:t>
      </w:r>
      <w:proofErr w:type="gramStart"/>
      <w:r w:rsidRPr="00594EB6">
        <w:rPr>
          <w:sz w:val="28"/>
          <w:szCs w:val="28"/>
        </w:rPr>
        <w:t>UFAL,  distribuídos</w:t>
      </w:r>
      <w:proofErr w:type="gramEnd"/>
      <w:r w:rsidRPr="00594EB6">
        <w:rPr>
          <w:sz w:val="28"/>
          <w:szCs w:val="28"/>
        </w:rPr>
        <w:t xml:space="preserve"> por temas, em 4(quatro) blocos. Disse, </w:t>
      </w:r>
      <w:proofErr w:type="gramStart"/>
      <w:r w:rsidRPr="00594EB6">
        <w:rPr>
          <w:sz w:val="28"/>
          <w:szCs w:val="28"/>
        </w:rPr>
        <w:t>ainda,  que</w:t>
      </w:r>
      <w:proofErr w:type="gramEnd"/>
      <w:r w:rsidRPr="00594EB6">
        <w:rPr>
          <w:sz w:val="28"/>
          <w:szCs w:val="28"/>
        </w:rPr>
        <w:t xml:space="preserve"> a parte prática, constará de um acompanhamento do processo de aquisição de medicamentos, para o </w:t>
      </w:r>
      <w:r w:rsidRPr="00594EB6">
        <w:rPr>
          <w:sz w:val="28"/>
          <w:szCs w:val="28"/>
        </w:rPr>
        <w:lastRenderedPageBreak/>
        <w:t xml:space="preserve">Hospital Universitário e para a Secretaria de Saúde de Maceió,  e que o público alvo do projeto são graduandos dos cursos de Administração, Contabilidade, Direito e Serviço Social.  Sobre a situação da Universidade Estadual de Alagoas – UNEAL, a Sra. </w:t>
      </w:r>
      <w:proofErr w:type="spellStart"/>
      <w:r w:rsidRPr="00594EB6">
        <w:rPr>
          <w:sz w:val="28"/>
          <w:szCs w:val="28"/>
        </w:rPr>
        <w:t>Nadja</w:t>
      </w:r>
      <w:proofErr w:type="spellEnd"/>
      <w:r w:rsidRPr="00594EB6">
        <w:rPr>
          <w:sz w:val="28"/>
          <w:szCs w:val="28"/>
        </w:rPr>
        <w:t xml:space="preserve"> Peixoto citando a excelente participação dessa Instituição em 2.016, afirmou a necessidade de iniciarmos os contatos com sua direção, visando a retomada das atividades neste exercício; enquanto a Sra. Valéria Bezerra confirmou o que expressara o Sr. Pedro Guido, anteriormente, sugerindo que seria mais produtivo trabalhar com um estab</w:t>
      </w:r>
      <w:r>
        <w:rPr>
          <w:sz w:val="28"/>
          <w:szCs w:val="28"/>
        </w:rPr>
        <w:t xml:space="preserve">elecimento à parte, deixando a </w:t>
      </w:r>
      <w:r w:rsidRPr="00594EB6">
        <w:rPr>
          <w:sz w:val="28"/>
          <w:szCs w:val="28"/>
        </w:rPr>
        <w:t xml:space="preserve">unificação do processo para um momento seguinte. Aprovada a iniciativa com a constituição do projeto através da UFAL, o Sr. Coordenador disse da conveniência de haver uma presença mais efetiva dos demais membros do FOCCO, em suas respectivas áreas de atuação, colaborando, assim, com o êxito do projeto.  A comissão da UFAL, através de seus representantes, ficou de apresentar o cronograma de atividades, posteriormente. </w:t>
      </w:r>
      <w:r w:rsidRPr="00594EB6">
        <w:rPr>
          <w:b/>
          <w:sz w:val="28"/>
          <w:szCs w:val="28"/>
          <w:u w:val="single"/>
        </w:rPr>
        <w:t>Item 3 da Pauta: Precatórios FUNDEF 2.017–</w:t>
      </w:r>
      <w:proofErr w:type="spellStart"/>
      <w:r w:rsidRPr="00594EB6">
        <w:rPr>
          <w:b/>
          <w:sz w:val="28"/>
          <w:szCs w:val="28"/>
          <w:u w:val="single"/>
        </w:rPr>
        <w:t>AcórdãoTCU</w:t>
      </w:r>
      <w:proofErr w:type="spellEnd"/>
      <w:r w:rsidRPr="00594EB6">
        <w:rPr>
          <w:b/>
          <w:sz w:val="28"/>
          <w:szCs w:val="28"/>
          <w:u w:val="single"/>
        </w:rPr>
        <w:t>/Encaminhamentos</w:t>
      </w:r>
      <w:r w:rsidRPr="00594EB6">
        <w:rPr>
          <w:sz w:val="28"/>
          <w:szCs w:val="28"/>
        </w:rPr>
        <w:t xml:space="preserve"> – Assunto pautado tendo em </w:t>
      </w:r>
      <w:proofErr w:type="gramStart"/>
      <w:r w:rsidRPr="00594EB6">
        <w:rPr>
          <w:sz w:val="28"/>
          <w:szCs w:val="28"/>
        </w:rPr>
        <w:t>vista  a</w:t>
      </w:r>
      <w:proofErr w:type="gramEnd"/>
      <w:r w:rsidRPr="00594EB6">
        <w:rPr>
          <w:sz w:val="28"/>
          <w:szCs w:val="28"/>
        </w:rPr>
        <w:t xml:space="preserve"> necessidade de uma definição, quanto à correta aplicação de referidos recursos, que fazem parte de uma remessa devida pela União, a título da complementação do valor por aluno, aos Estados e Municípios, em virtude de o Governo Federal não haver repassado os valores devidos conforme a legislação. O Sr. </w:t>
      </w:r>
      <w:proofErr w:type="spellStart"/>
      <w:r w:rsidRPr="00594EB6">
        <w:rPr>
          <w:sz w:val="28"/>
          <w:szCs w:val="28"/>
        </w:rPr>
        <w:t>Claudivan</w:t>
      </w:r>
      <w:proofErr w:type="spellEnd"/>
      <w:r w:rsidRPr="00594EB6">
        <w:rPr>
          <w:sz w:val="28"/>
          <w:szCs w:val="28"/>
        </w:rPr>
        <w:t xml:space="preserve"> Costa sugeriu ao FOCCO orientar-se pela decisão do TCU/MA,  que acatara proposta da Rede de Controle da Gestão Pública daquele Estado, cuja posição em relação à utilização de mencionados haveres,  foi apresentada através de 3(três) pontos principais: a Rede não apoia a Ação Rescisória interposta pela Advocacia Geral da União – AGU; entendendo, também, que na aplicação dos valores do FUNDEF, obtidos via precatórios, não há necessidade de observar a destinação mínima de 60% para pagamento aos profissionais da educação; compreendendo, ainda, que declarado crédito recebido por meio de precatório, deve ser aplicado integralmente na Educação. Foi dito, ainda, que, segundo o Tribunal de Contas da União, esses recursos, de idêntica origem, relacionados a verbas do FUNDEF/FUNDEB não estão sujeitos a pagamentos de honorários advocatícios, por ser inconstitucional e ilegal, e, mais ainda, porque esta </w:t>
      </w:r>
      <w:proofErr w:type="gramStart"/>
      <w:r w:rsidRPr="00594EB6">
        <w:rPr>
          <w:sz w:val="28"/>
          <w:szCs w:val="28"/>
        </w:rPr>
        <w:t>decisão  pode</w:t>
      </w:r>
      <w:proofErr w:type="gramEnd"/>
      <w:r w:rsidRPr="00594EB6">
        <w:rPr>
          <w:sz w:val="28"/>
          <w:szCs w:val="28"/>
        </w:rPr>
        <w:t xml:space="preserve"> significar uma verdadeira revolução em prol da educação. A par dos citados argumentos, o FOCCO deverá </w:t>
      </w:r>
      <w:proofErr w:type="gramStart"/>
      <w:r w:rsidRPr="00594EB6">
        <w:rPr>
          <w:sz w:val="28"/>
          <w:szCs w:val="28"/>
        </w:rPr>
        <w:t>abraçar  a</w:t>
      </w:r>
      <w:proofErr w:type="gramEnd"/>
      <w:r w:rsidRPr="00594EB6">
        <w:rPr>
          <w:sz w:val="28"/>
          <w:szCs w:val="28"/>
        </w:rPr>
        <w:t xml:space="preserve"> posição do TCU/MA. Em seguida, o Sr. Anthony Lima defendeu a posição da OAB/AL, de que os advogados deverão fazer jus a seus honorários, recebendo-os em forma de destaque; enquanto o </w:t>
      </w:r>
      <w:proofErr w:type="spellStart"/>
      <w:r w:rsidRPr="00594EB6">
        <w:rPr>
          <w:sz w:val="28"/>
          <w:szCs w:val="28"/>
        </w:rPr>
        <w:t>Sr.Sérgio</w:t>
      </w:r>
      <w:proofErr w:type="spellEnd"/>
      <w:r w:rsidRPr="00594EB6">
        <w:rPr>
          <w:sz w:val="28"/>
          <w:szCs w:val="28"/>
        </w:rPr>
        <w:t xml:space="preserve"> </w:t>
      </w:r>
      <w:proofErr w:type="spellStart"/>
      <w:r w:rsidRPr="00594EB6">
        <w:rPr>
          <w:sz w:val="28"/>
          <w:szCs w:val="28"/>
        </w:rPr>
        <w:t>Studart</w:t>
      </w:r>
      <w:proofErr w:type="spellEnd"/>
      <w:r w:rsidRPr="00594EB6">
        <w:rPr>
          <w:sz w:val="28"/>
          <w:szCs w:val="28"/>
        </w:rPr>
        <w:t xml:space="preserve"> afirmou que os recursos de que se trata, deverão ser aplicados, </w:t>
      </w:r>
      <w:proofErr w:type="gramStart"/>
      <w:r w:rsidRPr="00594EB6">
        <w:rPr>
          <w:sz w:val="28"/>
          <w:szCs w:val="28"/>
        </w:rPr>
        <w:t>exclusivamente,  na</w:t>
      </w:r>
      <w:proofErr w:type="gramEnd"/>
      <w:r w:rsidRPr="00594EB6">
        <w:rPr>
          <w:sz w:val="28"/>
          <w:szCs w:val="28"/>
        </w:rPr>
        <w:t xml:space="preserve"> Educação,  e que o pagamento aos Senhores Juristas é da responsabilidade da Prefeitura. Já o Sr. </w:t>
      </w:r>
      <w:proofErr w:type="spellStart"/>
      <w:r w:rsidRPr="00594EB6">
        <w:rPr>
          <w:sz w:val="28"/>
          <w:szCs w:val="28"/>
        </w:rPr>
        <w:lastRenderedPageBreak/>
        <w:t>Linaldo</w:t>
      </w:r>
      <w:proofErr w:type="spellEnd"/>
      <w:r w:rsidRPr="00594EB6">
        <w:rPr>
          <w:sz w:val="28"/>
          <w:szCs w:val="28"/>
        </w:rPr>
        <w:t xml:space="preserve"> Freitas ratificou a posição do Tribunal de Contas do Estado, já do conhecimento de todos. A propósito, o Sr. José Carlos lamentou a decisão do TCE/AL, </w:t>
      </w:r>
      <w:proofErr w:type="gramStart"/>
      <w:r w:rsidRPr="00594EB6">
        <w:rPr>
          <w:sz w:val="28"/>
          <w:szCs w:val="28"/>
        </w:rPr>
        <w:t>contrária  à</w:t>
      </w:r>
      <w:proofErr w:type="gramEnd"/>
      <w:r w:rsidRPr="00594EB6">
        <w:rPr>
          <w:sz w:val="28"/>
          <w:szCs w:val="28"/>
        </w:rPr>
        <w:t xml:space="preserve"> do TCU,  que, presumivelmente, levará os Srs. gestores municipais a cometerem crime de improbidade administrativa.  Sugeriu ele, igualmente, a produção de uma nova recomendação, agora, à Associação dos Municípios Alagoanos – AMA, a ser assinada pelos órgãos de controle e fiscalização, informando o teor do acórdão do TCU; comunicando, também, à Imprensa que os municípios estarão sujeitos, destarte, a uma fiscalização mais efetiva quanto à aplicação de referidos recursos. Concluindo a matéria, foi lembrada a possibilidade de punir os maus gestores, que deixarem de cumprir a citada recomendação.  </w:t>
      </w:r>
      <w:r w:rsidRPr="00594EB6">
        <w:rPr>
          <w:b/>
          <w:sz w:val="28"/>
          <w:szCs w:val="28"/>
          <w:u w:val="single"/>
        </w:rPr>
        <w:t xml:space="preserve">Item 4 da Pauta: Evento TCU com Conselheiros da Educação – Informações e Encaminhamentos </w:t>
      </w:r>
      <w:proofErr w:type="gramStart"/>
      <w:r w:rsidRPr="00594EB6">
        <w:rPr>
          <w:b/>
          <w:sz w:val="28"/>
          <w:szCs w:val="28"/>
          <w:u w:val="single"/>
        </w:rPr>
        <w:t>–</w:t>
      </w:r>
      <w:r w:rsidRPr="00594EB6">
        <w:rPr>
          <w:sz w:val="28"/>
          <w:szCs w:val="28"/>
        </w:rPr>
        <w:t xml:space="preserve">  Tendo</w:t>
      </w:r>
      <w:proofErr w:type="gramEnd"/>
      <w:r w:rsidRPr="00594EB6">
        <w:rPr>
          <w:sz w:val="28"/>
          <w:szCs w:val="28"/>
        </w:rPr>
        <w:t xml:space="preserve"> como fundamento o combate à fraude e à corrupção e, também, a promoção da transparência na administração pública, o TCU, a partir de experiências com algumas ONGs, que têm como objetivo o controle social, está oferecendo à sociedade um maior espaço para que exerça, através de seu livre direito de cobrança, uma fiscalização mais efetiva. A palavra de ordem é garantir a disponibilidade de informações necessárias para possibilitar e incentivar a participação ativa do cidadão no controle dos gastos públicos. Nesse contexto, uma das ações promovidas pelo Tribunal para a </w:t>
      </w:r>
      <w:proofErr w:type="gramStart"/>
      <w:r w:rsidRPr="00594EB6">
        <w:rPr>
          <w:sz w:val="28"/>
          <w:szCs w:val="28"/>
        </w:rPr>
        <w:t>capacitação,  é</w:t>
      </w:r>
      <w:proofErr w:type="gramEnd"/>
      <w:r w:rsidRPr="00594EB6">
        <w:rPr>
          <w:sz w:val="28"/>
          <w:szCs w:val="28"/>
        </w:rPr>
        <w:t xml:space="preserve"> a publicação da nova edição da Cartilha para Conselheiros do Programa Nacional de Alimentação Escolar, com o propósito de garantir uma melhor gestão e fiscalização dos recursos, destinados à merenda fornecida aos estudantes das redes públicas de ensino.  O TCU proporcionará a realização de 2(dois) eventos, neste </w:t>
      </w:r>
      <w:proofErr w:type="gramStart"/>
      <w:r w:rsidRPr="00594EB6">
        <w:rPr>
          <w:sz w:val="28"/>
          <w:szCs w:val="28"/>
        </w:rPr>
        <w:t>Estado,  para</w:t>
      </w:r>
      <w:proofErr w:type="gramEnd"/>
      <w:r w:rsidRPr="00594EB6">
        <w:rPr>
          <w:sz w:val="28"/>
          <w:szCs w:val="28"/>
        </w:rPr>
        <w:t xml:space="preserve"> lançamento das referidas normas, a acontecer em outubro próximo. </w:t>
      </w:r>
      <w:r w:rsidRPr="00594EB6">
        <w:rPr>
          <w:b/>
          <w:sz w:val="28"/>
          <w:szCs w:val="28"/>
          <w:u w:val="single"/>
        </w:rPr>
        <w:t>Item 5 da Pauta: Transporte Escolar/Informações-</w:t>
      </w:r>
      <w:r w:rsidRPr="00594EB6">
        <w:rPr>
          <w:sz w:val="28"/>
          <w:szCs w:val="28"/>
        </w:rPr>
        <w:t xml:space="preserve"> </w:t>
      </w:r>
      <w:proofErr w:type="gramStart"/>
      <w:r w:rsidRPr="00594EB6">
        <w:rPr>
          <w:sz w:val="28"/>
          <w:szCs w:val="28"/>
        </w:rPr>
        <w:t>Tema  exaustivamente</w:t>
      </w:r>
      <w:proofErr w:type="gramEnd"/>
      <w:r w:rsidRPr="00594EB6">
        <w:rPr>
          <w:sz w:val="28"/>
          <w:szCs w:val="28"/>
        </w:rPr>
        <w:t xml:space="preserve"> debatido em nossas reuniões.  O Sr. Coordenador informou que procedeu a </w:t>
      </w:r>
      <w:proofErr w:type="gramStart"/>
      <w:r w:rsidRPr="00594EB6">
        <w:rPr>
          <w:sz w:val="28"/>
          <w:szCs w:val="28"/>
        </w:rPr>
        <w:t>entrega  do</w:t>
      </w:r>
      <w:proofErr w:type="gramEnd"/>
      <w:r w:rsidRPr="00594EB6">
        <w:rPr>
          <w:sz w:val="28"/>
          <w:szCs w:val="28"/>
        </w:rPr>
        <w:t xml:space="preserve"> regulamento para o transporte escolar às direções do DETRAN/AL e CETRAN/AL, que deverá ser </w:t>
      </w:r>
      <w:proofErr w:type="spellStart"/>
      <w:r w:rsidRPr="00594EB6">
        <w:rPr>
          <w:sz w:val="28"/>
          <w:szCs w:val="28"/>
        </w:rPr>
        <w:t>publicizado</w:t>
      </w:r>
      <w:proofErr w:type="spellEnd"/>
      <w:r w:rsidRPr="00594EB6">
        <w:rPr>
          <w:sz w:val="28"/>
          <w:szCs w:val="28"/>
        </w:rPr>
        <w:t xml:space="preserve"> durante as comemorações da Semana Nacional de Trânsito neste Estado, mais precisamente, no I Simpósio Transparência Legislação e Trânsito, a acontecer no próximo 26 de setembro, a partir das 9 horas, no Hotel </w:t>
      </w:r>
      <w:proofErr w:type="spellStart"/>
      <w:r w:rsidRPr="00594EB6">
        <w:rPr>
          <w:sz w:val="28"/>
          <w:szCs w:val="28"/>
        </w:rPr>
        <w:t>Jatiúca</w:t>
      </w:r>
      <w:proofErr w:type="spellEnd"/>
      <w:r w:rsidRPr="00594EB6">
        <w:rPr>
          <w:sz w:val="28"/>
          <w:szCs w:val="28"/>
        </w:rPr>
        <w:t xml:space="preserve">. Repassou ele, ainda, na oportunidade, convite recebido do DETRAN/AL e da CGU para participarmos da referida Conferência, onde os temas mais atuais da realidade do trânsito brasileiro, a exemplo do transporte escolar, serão debatidos pelas maiores autoridades do País. </w:t>
      </w:r>
      <w:r w:rsidRPr="00594EB6">
        <w:rPr>
          <w:b/>
          <w:sz w:val="28"/>
          <w:szCs w:val="28"/>
          <w:u w:val="single"/>
        </w:rPr>
        <w:t>Item 6 da Pauta: Informes – Planejamento ENCCLA-</w:t>
      </w:r>
      <w:proofErr w:type="gramStart"/>
      <w:r w:rsidRPr="00594EB6">
        <w:rPr>
          <w:b/>
          <w:sz w:val="28"/>
          <w:szCs w:val="28"/>
          <w:u w:val="single"/>
        </w:rPr>
        <w:t>LIVRE</w:t>
      </w:r>
      <w:r w:rsidRPr="00594EB6">
        <w:rPr>
          <w:sz w:val="28"/>
          <w:szCs w:val="28"/>
        </w:rPr>
        <w:t xml:space="preserve">  -</w:t>
      </w:r>
      <w:proofErr w:type="gramEnd"/>
      <w:r w:rsidRPr="00594EB6">
        <w:rPr>
          <w:sz w:val="28"/>
          <w:szCs w:val="28"/>
        </w:rPr>
        <w:t xml:space="preserve">  Foi informado,  a propósito da Estratégia Nacional de Combate à Corrupção e à Lavagem de Dinheiro, a impossibilidade de participarmos da  reunião inaugural do ciclo de </w:t>
      </w:r>
      <w:r w:rsidRPr="00594EB6">
        <w:rPr>
          <w:sz w:val="28"/>
          <w:szCs w:val="28"/>
        </w:rPr>
        <w:lastRenderedPageBreak/>
        <w:t xml:space="preserve">Planejamento das Ações ENCCLA/2.018.  Foi comentada, ainda, a operação contra fraudes em licitações na saúde do Estado, através da PF, CGU e MPE.  Em seguida, o Sr. Pedro Guido propôs uma participação mais efetiva do PJU, no processo de aquisição de medicamentos pelo </w:t>
      </w:r>
      <w:proofErr w:type="gramStart"/>
      <w:r w:rsidRPr="00594EB6">
        <w:rPr>
          <w:sz w:val="28"/>
          <w:szCs w:val="28"/>
        </w:rPr>
        <w:t>município,  contando</w:t>
      </w:r>
      <w:proofErr w:type="gramEnd"/>
      <w:r w:rsidRPr="00594EB6">
        <w:rPr>
          <w:sz w:val="28"/>
          <w:szCs w:val="28"/>
        </w:rPr>
        <w:t xml:space="preserve"> com a expertise  do Ministério Público do Estado.  </w:t>
      </w:r>
      <w:r w:rsidRPr="00594EB6">
        <w:rPr>
          <w:b/>
          <w:sz w:val="28"/>
          <w:szCs w:val="28"/>
          <w:u w:val="single"/>
        </w:rPr>
        <w:t xml:space="preserve">Item 7 da Pauta:  Considerações finais–Próxima reunião 03 de outubro – definir </w:t>
      </w:r>
      <w:proofErr w:type="gramStart"/>
      <w:r w:rsidRPr="00594EB6">
        <w:rPr>
          <w:b/>
          <w:sz w:val="28"/>
          <w:szCs w:val="28"/>
          <w:u w:val="single"/>
        </w:rPr>
        <w:t>local ?</w:t>
      </w:r>
      <w:proofErr w:type="gramEnd"/>
      <w:r w:rsidRPr="00594EB6">
        <w:rPr>
          <w:b/>
          <w:sz w:val="28"/>
          <w:szCs w:val="28"/>
          <w:u w:val="single"/>
        </w:rPr>
        <w:t xml:space="preserve"> -  </w:t>
      </w:r>
      <w:r w:rsidRPr="00594EB6">
        <w:rPr>
          <w:sz w:val="28"/>
          <w:szCs w:val="28"/>
        </w:rPr>
        <w:t xml:space="preserve">- Foi confirmado nosso próximo </w:t>
      </w:r>
      <w:proofErr w:type="gramStart"/>
      <w:r w:rsidRPr="00594EB6">
        <w:rPr>
          <w:sz w:val="28"/>
          <w:szCs w:val="28"/>
        </w:rPr>
        <w:t>encontro  para</w:t>
      </w:r>
      <w:proofErr w:type="gramEnd"/>
      <w:r w:rsidRPr="00594EB6">
        <w:rPr>
          <w:sz w:val="28"/>
          <w:szCs w:val="28"/>
        </w:rPr>
        <w:t xml:space="preserve"> o dia 3 de outubro do corrente, regimentalmente, primeira terça-feira do mês, a acontecer em local a ser definido. </w:t>
      </w:r>
      <w:r w:rsidRPr="00594EB6">
        <w:rPr>
          <w:rStyle w:val="CitaoHTML"/>
          <w:color w:val="auto"/>
          <w:sz w:val="28"/>
          <w:szCs w:val="28"/>
        </w:rPr>
        <w:t>Não havendo mais nada a ser discutido, foi encerrada a reunião às 12 horas e 15 minutos.  Assinam a Ata os Srs. José Carlos Castro – Coordenador e Fernando Teles de Farias – Secretário, juntamente com os demais membros presentes.</w:t>
      </w:r>
    </w:p>
    <w:p w:rsidR="007A0878" w:rsidRPr="00594EB6" w:rsidRDefault="007A0878" w:rsidP="007A0878">
      <w:pPr>
        <w:jc w:val="both"/>
        <w:rPr>
          <w:rStyle w:val="CitaoHTML"/>
          <w:color w:val="auto"/>
          <w:sz w:val="28"/>
          <w:szCs w:val="28"/>
        </w:rPr>
      </w:pP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  <w:r w:rsidRPr="00594EB6">
        <w:rPr>
          <w:rStyle w:val="CitaoHTML"/>
          <w:color w:val="auto"/>
          <w:sz w:val="28"/>
          <w:szCs w:val="28"/>
        </w:rPr>
        <w:t>José Carlos Castro</w:t>
      </w: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  <w:r w:rsidRPr="00594EB6">
        <w:rPr>
          <w:rStyle w:val="CitaoHTML"/>
          <w:color w:val="auto"/>
          <w:sz w:val="28"/>
          <w:szCs w:val="28"/>
        </w:rPr>
        <w:t>Coordenador</w:t>
      </w:r>
    </w:p>
    <w:p w:rsidR="007A0878" w:rsidRPr="00594EB6" w:rsidRDefault="007A0878" w:rsidP="007A0878">
      <w:pPr>
        <w:rPr>
          <w:rStyle w:val="CitaoHTML"/>
          <w:color w:val="auto"/>
          <w:sz w:val="28"/>
          <w:szCs w:val="28"/>
        </w:rPr>
      </w:pP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  <w:r w:rsidRPr="00594EB6">
        <w:rPr>
          <w:rStyle w:val="CitaoHTML"/>
          <w:color w:val="auto"/>
          <w:sz w:val="28"/>
          <w:szCs w:val="28"/>
        </w:rPr>
        <w:t xml:space="preserve">Fernando Teles de Farias </w:t>
      </w: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  <w:r w:rsidRPr="00594EB6">
        <w:rPr>
          <w:rStyle w:val="CitaoHTML"/>
          <w:color w:val="auto"/>
          <w:sz w:val="28"/>
          <w:szCs w:val="28"/>
        </w:rPr>
        <w:t>Secretário</w:t>
      </w:r>
    </w:p>
    <w:p w:rsidR="007A0878" w:rsidRPr="00594EB6" w:rsidRDefault="007A0878" w:rsidP="007A0878">
      <w:pPr>
        <w:jc w:val="center"/>
        <w:rPr>
          <w:rStyle w:val="CitaoHTML"/>
          <w:color w:val="auto"/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proofErr w:type="spellStart"/>
      <w:r w:rsidRPr="00594EB6">
        <w:rPr>
          <w:sz w:val="28"/>
          <w:szCs w:val="28"/>
        </w:rPr>
        <w:t>Claudivan</w:t>
      </w:r>
      <w:proofErr w:type="spellEnd"/>
      <w:r w:rsidRPr="00594EB6">
        <w:rPr>
          <w:sz w:val="28"/>
          <w:szCs w:val="28"/>
        </w:rPr>
        <w:t xml:space="preserve"> da Silva Costa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TCU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Pedro Guido da Silva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ISV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 xml:space="preserve">Sérgio </w:t>
      </w:r>
      <w:proofErr w:type="spellStart"/>
      <w:r w:rsidRPr="00594EB6">
        <w:rPr>
          <w:sz w:val="28"/>
          <w:szCs w:val="28"/>
        </w:rPr>
        <w:t>Studart</w:t>
      </w:r>
      <w:proofErr w:type="spellEnd"/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CGU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proofErr w:type="spellStart"/>
      <w:r w:rsidRPr="00594EB6">
        <w:rPr>
          <w:sz w:val="28"/>
          <w:szCs w:val="28"/>
        </w:rPr>
        <w:t>Linaldo</w:t>
      </w:r>
      <w:proofErr w:type="spellEnd"/>
      <w:r w:rsidRPr="00594EB6">
        <w:rPr>
          <w:sz w:val="28"/>
          <w:szCs w:val="28"/>
        </w:rPr>
        <w:t xml:space="preserve"> Freitas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TCE/AL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Paulo José Monteiro Santos Lima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AGU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Anthony Lima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OAB/AL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Rafael Rodrigues de Alcântara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lastRenderedPageBreak/>
        <w:t>MPC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Adriano Nascimento Silva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UFAL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Cássio de Araújo Silva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MPT/AL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proofErr w:type="spellStart"/>
      <w:r w:rsidRPr="00594EB6">
        <w:rPr>
          <w:sz w:val="28"/>
          <w:szCs w:val="28"/>
        </w:rPr>
        <w:t>Helenice</w:t>
      </w:r>
      <w:proofErr w:type="spellEnd"/>
      <w:r w:rsidRPr="00594EB6">
        <w:rPr>
          <w:sz w:val="28"/>
          <w:szCs w:val="28"/>
        </w:rPr>
        <w:t xml:space="preserve"> Balbino Silva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SINTEAL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Valéria Bezerra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RFB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proofErr w:type="spellStart"/>
      <w:r w:rsidRPr="00594EB6">
        <w:rPr>
          <w:sz w:val="28"/>
          <w:szCs w:val="28"/>
        </w:rPr>
        <w:t>Edilma</w:t>
      </w:r>
      <w:proofErr w:type="spellEnd"/>
      <w:r w:rsidRPr="00594EB6">
        <w:rPr>
          <w:sz w:val="28"/>
          <w:szCs w:val="28"/>
        </w:rPr>
        <w:t xml:space="preserve"> de Albuquerque Lins Barbosa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SINDMED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</w:p>
    <w:p w:rsidR="007A0878" w:rsidRPr="00594EB6" w:rsidRDefault="007A0878" w:rsidP="007A0878">
      <w:pPr>
        <w:jc w:val="center"/>
        <w:rPr>
          <w:sz w:val="28"/>
          <w:szCs w:val="28"/>
        </w:rPr>
      </w:pPr>
      <w:proofErr w:type="spellStart"/>
      <w:r w:rsidRPr="00594EB6">
        <w:rPr>
          <w:sz w:val="28"/>
          <w:szCs w:val="28"/>
        </w:rPr>
        <w:t>Nadja</w:t>
      </w:r>
      <w:proofErr w:type="spellEnd"/>
      <w:r w:rsidRPr="00594EB6">
        <w:rPr>
          <w:sz w:val="28"/>
          <w:szCs w:val="28"/>
        </w:rPr>
        <w:t xml:space="preserve"> Lúcia de Oliveira Peixoto</w:t>
      </w:r>
    </w:p>
    <w:p w:rsidR="007A0878" w:rsidRPr="00594EB6" w:rsidRDefault="007A0878" w:rsidP="007A0878">
      <w:pPr>
        <w:jc w:val="center"/>
        <w:rPr>
          <w:sz w:val="28"/>
          <w:szCs w:val="28"/>
        </w:rPr>
      </w:pPr>
      <w:r w:rsidRPr="00594EB6">
        <w:rPr>
          <w:sz w:val="28"/>
          <w:szCs w:val="28"/>
        </w:rPr>
        <w:t>UNEAL</w:t>
      </w:r>
    </w:p>
    <w:p w:rsidR="00C45B55" w:rsidRDefault="00C45B55"/>
    <w:sectPr w:rsidR="00C45B55" w:rsidSect="00D7603F">
      <w:headerReference w:type="default" r:id="rId4"/>
      <w:pgSz w:w="11906" w:h="16838"/>
      <w:pgMar w:top="1418" w:right="1701" w:bottom="1276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6C" w:rsidRDefault="007A0878">
    <w:pPr>
      <w:pStyle w:val="Cabealho"/>
    </w:pPr>
    <w:r w:rsidRPr="00A51747">
      <w:rPr>
        <w:noProof/>
      </w:rPr>
      <w:drawing>
        <wp:anchor distT="0" distB="0" distL="114300" distR="114300" simplePos="0" relativeHeight="251659264" behindDoc="0" locked="0" layoutInCell="1" allowOverlap="1" wp14:anchorId="0273ADE2" wp14:editId="2AE27A50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5400675" cy="1257300"/>
          <wp:effectExtent l="1905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8"/>
    <w:rsid w:val="007A0878"/>
    <w:rsid w:val="00C4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38EB6-53E2-430F-9AF4-1A642802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08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A08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0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8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7A0878"/>
    <w:rPr>
      <w:i w:val="0"/>
      <w:iCs w:val="0"/>
      <w:color w:val="006621"/>
    </w:rPr>
  </w:style>
  <w:style w:type="character" w:styleId="Nmerodelinha">
    <w:name w:val="line number"/>
    <w:basedOn w:val="Fontepargpadro"/>
    <w:uiPriority w:val="99"/>
    <w:semiHidden/>
    <w:unhideWhenUsed/>
    <w:rsid w:val="007A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1525</Words>
  <Characters>8240</Characters>
  <Application>Microsoft Office Word</Application>
  <DocSecurity>0</DocSecurity>
  <Lines>68</Lines>
  <Paragraphs>19</Paragraphs>
  <ScaleCrop>false</ScaleCrop>
  <Company/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1</cp:revision>
  <dcterms:created xsi:type="dcterms:W3CDTF">2022-02-25T12:19:00Z</dcterms:created>
  <dcterms:modified xsi:type="dcterms:W3CDTF">2022-02-25T12:22:00Z</dcterms:modified>
</cp:coreProperties>
</file>